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Look w:val="04A0" w:firstRow="1" w:lastRow="0" w:firstColumn="1" w:lastColumn="0" w:noHBand="0" w:noVBand="1"/>
      </w:tblPr>
      <w:tblGrid>
        <w:gridCol w:w="1542"/>
        <w:gridCol w:w="2810"/>
        <w:gridCol w:w="411"/>
        <w:gridCol w:w="1464"/>
        <w:gridCol w:w="1415"/>
        <w:gridCol w:w="522"/>
        <w:gridCol w:w="1250"/>
        <w:gridCol w:w="1386"/>
      </w:tblGrid>
      <w:tr w:rsidR="00027A83" w:rsidRPr="00027A83" w14:paraId="0F5E08D1" w14:textId="77777777" w:rsidTr="00027A83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7955F" w14:textId="292A8A3D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D84708" wp14:editId="36D875C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228600</wp:posOffset>
                      </wp:positionV>
                      <wp:extent cx="533400" cy="142875"/>
                      <wp:effectExtent l="19050" t="19050" r="19050" b="47625"/>
                      <wp:wrapNone/>
                      <wp:docPr id="8" name="Arrow: Left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ED56076-C36D-48DC-AB67-8B8BF46C751A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330383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8" o:spid="_x0000_s1026" type="#_x0000_t66" style="position:absolute;margin-left:26.25pt;margin-top:18pt;width:4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" adj="2200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</w:tblGrid>
            <w:tr w:rsidR="00027A83" w:rsidRPr="00027A83" w14:paraId="53821BBB" w14:textId="77777777">
              <w:trPr>
                <w:trHeight w:val="276"/>
                <w:tblCellSpacing w:w="0" w:type="dxa"/>
              </w:trPr>
              <w:tc>
                <w:tcPr>
                  <w:tcW w:w="1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AA2CB7" w14:textId="77777777" w:rsidR="00027A83" w:rsidRPr="00027A83" w:rsidRDefault="00027A83" w:rsidP="00027A83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  <w:tr w:rsidR="00027A83" w:rsidRPr="00027A83" w14:paraId="4F982391" w14:textId="77777777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16EB810" w14:textId="77777777" w:rsidR="00027A83" w:rsidRPr="00027A83" w:rsidRDefault="00027A83" w:rsidP="00027A83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1A993EC8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A2E9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FA1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992B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0CB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B601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0DE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64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7EBED62" w14:textId="77777777" w:rsidTr="00027A83">
        <w:trPr>
          <w:trHeight w:val="300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84E250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ED3A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  Your county logo here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C5ED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F8A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4EE0B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Your county logo here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1D19" w14:textId="73A10864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9D25A" wp14:editId="14BB61BB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47625</wp:posOffset>
                      </wp:positionV>
                      <wp:extent cx="628650" cy="142875"/>
                      <wp:effectExtent l="0" t="19050" r="38100" b="47625"/>
                      <wp:wrapNone/>
                      <wp:docPr id="9" name="Arrow: Left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58E6D0C-6B4C-4B55-809A-A64B5664876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960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4A1F1" id="Arrow: Left 9" o:spid="_x0000_s1026" type="#_x0000_t66" style="position:absolute;margin-left:33pt;margin-top:3.75pt;width:49.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" adj="1856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"/>
            </w:tblGrid>
            <w:tr w:rsidR="00027A83" w:rsidRPr="00027A83" w14:paraId="4A9DC6E7" w14:textId="77777777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8237A7" w14:textId="77777777" w:rsidR="00027A83" w:rsidRPr="00027A83" w:rsidRDefault="00027A83" w:rsidP="00027A83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21E45F77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F200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52589C8" w14:textId="77777777" w:rsidTr="00027A83">
        <w:trPr>
          <w:trHeight w:val="300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E775B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C516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6AD7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8B3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A6C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0C6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1C8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41D8C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5376C5EE" w14:textId="77777777" w:rsidTr="00027A83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886F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Title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EECD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R&amp;B Welder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71E90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7053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DFD37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F16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249A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Grade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0649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027A83" w:rsidRPr="00027A83" w14:paraId="3ACBADCC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42A2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18B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1CE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E67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8E2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E14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157B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E785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B240AE5" w14:textId="77777777" w:rsidTr="00027A83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3F2E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Reports to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99E9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03D16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4CBC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Position #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96AD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11E2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6814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FLSA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CF43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027A83" w:rsidRPr="00027A83" w14:paraId="032BF82C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2A69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DDFE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3E3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C4B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C55F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9926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7EC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6F18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7C18918C" w14:textId="77777777" w:rsidTr="00027A83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71D9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Department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85EB6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6448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FC21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Location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7F64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ED7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4C78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SIC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C67D9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027A83" w:rsidRPr="00027A83" w14:paraId="16555A81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49E0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10E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C3F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72A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B888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1DB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00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232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5E801AE6" w14:textId="77777777" w:rsidTr="00027A83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C294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Division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9F0D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962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4D9B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EFB50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C1B4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7BBC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EEO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9D16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027A83" w:rsidRPr="00027A83" w14:paraId="445EA31D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D57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8C3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37E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5555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6A12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011E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BD7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10D7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26F57EDA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A4664C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Summary of Functions: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</w:p>
        </w:tc>
      </w:tr>
      <w:tr w:rsidR="00027A83" w:rsidRPr="00027A83" w14:paraId="0FA05209" w14:textId="77777777" w:rsidTr="00027A83">
        <w:trPr>
          <w:trHeight w:val="9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033CF" w14:textId="664F7ACD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The Welder under general supervision, performs skilled work in welding, welding repairs and the fabrication of various metal accessories and components.  Location for this job may be in a shop or in a mobile environment in the field as work dictates.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027A83" w:rsidRPr="00027A83" w14:paraId="4D284CFF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7E1D6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9BE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63A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5035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DFC3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2B5F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47C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9CBB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983B93A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AA9B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Distinguishing Characteristics: </w:t>
            </w:r>
          </w:p>
        </w:tc>
      </w:tr>
      <w:tr w:rsidR="00027A83" w:rsidRPr="00027A83" w14:paraId="71A014E9" w14:textId="77777777" w:rsidTr="00027A83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65B365" w14:textId="12270A4E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This is not an entry level position, but an intermediate position that requires experience and demonstrated skill in welding types and methodologies.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027A83" w:rsidRPr="00027A83" w14:paraId="22CEAF1A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F2C27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913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860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D06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E3C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F1EA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28C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6B2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6410C518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03150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Management Scope:  N/A</w:t>
            </w:r>
          </w:p>
        </w:tc>
      </w:tr>
      <w:tr w:rsidR="00027A83" w:rsidRPr="00027A83" w14:paraId="06FAA6FC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60D72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C58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84D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1FE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79FE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F647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545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948C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E33DFE3" w14:textId="77777777" w:rsidTr="00027A83">
        <w:trPr>
          <w:trHeight w:val="300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C219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Duties and Responsibilities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2DE5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8AD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8CCE" w14:textId="77777777" w:rsidR="00027A83" w:rsidRPr="00027A83" w:rsidRDefault="00027A83" w:rsidP="00027A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% of Time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DC334" w14:textId="77777777" w:rsidR="00027A83" w:rsidRPr="00027A83" w:rsidRDefault="00027A83" w:rsidP="00027A8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9236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ssential / </w:t>
            </w: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on-Essential</w:t>
            </w:r>
          </w:p>
        </w:tc>
      </w:tr>
      <w:tr w:rsidR="00027A83" w:rsidRPr="00027A83" w14:paraId="319EA5EE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0B8C4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D24F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424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B146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B7EC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6DD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554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94B6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96733DC" w14:textId="77777777" w:rsidTr="00027A83">
        <w:trPr>
          <w:trHeight w:val="12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06A70" w14:textId="026A7ECD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1. Performs a wide variety of welding jobs related to preventive maintenance,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repair,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construction.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Using grinders, cutting torches, drills, electric hammers,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saws,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related tools, as well as operating power equipment.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00F65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853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40B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C110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398B9FAC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365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B9DD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4592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D827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3D44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334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3CC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457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3D03173D" w14:textId="77777777" w:rsidTr="00027A83">
        <w:trPr>
          <w:trHeight w:val="9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7955FD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2. Performs pre-welding layout design work and jig preparation, fabricates items, and selects the proper welding tools and material to complete projects.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8FD9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2F8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402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0AE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33E134B8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F63A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545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52A5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6756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26E1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76B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4F2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657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0C958356" w14:textId="77777777" w:rsidTr="00027A83">
        <w:trPr>
          <w:trHeight w:val="9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03542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3. Identifies, undertakes, recommends and/or oversees materials, supplies, equipment and/or parts purchase and inventory.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0A94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B54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9DCC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8AD8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DDDDFFF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40A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FCC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F0A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237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F824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587A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2E64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9B0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6547FE83" w14:textId="77777777" w:rsidTr="00027A83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E6FBCC" w14:textId="36DAC954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4. Reads, understands,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interprets,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applies blue prints,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schematics,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similar documents.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6A9DC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343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ECE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772B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00BBF7E9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DE5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F8B6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4C0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E11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817C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1B9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E6ED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096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02E9D581" w14:textId="77777777" w:rsidTr="00027A83">
        <w:trPr>
          <w:trHeight w:val="9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2554D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5. Inspects and evaluates condition of construction equipment, structures and other items that require welding repairs or reconstruction and makes appropriate repairs.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F3288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5C4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A031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4EB7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C4F1F52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05BD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979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1FD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561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DDD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18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961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A0D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638E7232" w14:textId="77777777" w:rsidTr="00027A83">
        <w:trPr>
          <w:trHeight w:val="9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148E2" w14:textId="6F000A7D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6. Uses oxy-acetylene, electric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welder,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or arc welding machines to heat, braze cut,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resurface,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fit ferrous and non-ferrous metals.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5D380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C7B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A44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E1A6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5A18C25D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E0A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1D2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CC9F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F08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2E6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A30A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C98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4AC0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E54C61D" w14:textId="77777777" w:rsidTr="00027A83">
        <w:trPr>
          <w:trHeight w:val="9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5559C" w14:textId="2B812EEE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 xml:space="preserve">7. Performs tasks using cutting,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welding,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grinding equipment; utilizes various metals, including steel, copper,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aluminum,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brass.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03C2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70B4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D56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452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AAA2AAA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F63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7D5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2F7C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7B5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B85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498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A9AB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097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784BDED2" w14:textId="77777777" w:rsidTr="00027A83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383D8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8. Measures dimensions of products or work pieces to verify conformance to specifications.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559EE8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BDEEE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836F8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5A9D2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131F9FE7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0F9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2932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5339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EBB6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7B2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2B546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103D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C240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5E879AE7" w14:textId="77777777" w:rsidTr="00027A83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1598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9. Performs other job-related duties as assigned. 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364A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BF6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8CE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EDE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494BCFB1" w14:textId="77777777" w:rsidTr="00027A83">
        <w:trPr>
          <w:trHeight w:val="162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E68C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AAD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6F9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AC9C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C45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48824086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BA412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Minimum Qualifications</w:t>
            </w:r>
          </w:p>
        </w:tc>
      </w:tr>
      <w:tr w:rsidR="00027A83" w:rsidRPr="00027A83" w14:paraId="2F460921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236E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 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Education, Experience and Trainin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g: </w:t>
            </w:r>
          </w:p>
        </w:tc>
      </w:tr>
      <w:tr w:rsidR="00027A83" w:rsidRPr="00027A83" w14:paraId="1DC0AE31" w14:textId="77777777" w:rsidTr="00027A83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D90C7C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High school diploma or GED </w:t>
            </w: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AND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two (2) years of journey level welding experience with one (1) year experience as a welder in a heavy equipment construction work environment</w:t>
            </w:r>
            <w:proofErr w:type="gramStart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proofErr w:type="gramEnd"/>
          </w:p>
        </w:tc>
      </w:tr>
      <w:tr w:rsidR="00027A83" w:rsidRPr="00027A83" w14:paraId="74E2436E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749AC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203F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F8C5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910B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263F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2CD4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69297A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69189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231266CC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41D197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 xml:space="preserve"> Licenses, Registrations, Certifications, or Special Requirements: </w:t>
            </w:r>
          </w:p>
        </w:tc>
      </w:tr>
      <w:tr w:rsidR="00027A83" w:rsidRPr="00027A83" w14:paraId="22576AF2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FE6AE4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Class B CDL with good driving record</w:t>
            </w:r>
            <w:proofErr w:type="gramStart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proofErr w:type="gramEnd"/>
          </w:p>
        </w:tc>
      </w:tr>
      <w:tr w:rsidR="00027A83" w:rsidRPr="00027A83" w14:paraId="73C1D602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E8FA6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97C9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D89E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0C6C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681E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365C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510E2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59CEC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0FF7E429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C077B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 xml:space="preserve">  Preferred: </w:t>
            </w:r>
          </w:p>
        </w:tc>
      </w:tr>
      <w:tr w:rsidR="00027A83" w:rsidRPr="00027A83" w14:paraId="66A042AE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8B0B8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</w:p>
        </w:tc>
      </w:tr>
      <w:tr w:rsidR="00027A83" w:rsidRPr="00027A83" w14:paraId="38D728F1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B042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9FD3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40CA9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7587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7967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4CFB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649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9FA6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0E59FB4B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4A66E4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</w:rPr>
              <w:t>Knowledge, Skills &amp; Abilities:</w:t>
            </w: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 </w:t>
            </w:r>
          </w:p>
        </w:tc>
      </w:tr>
      <w:tr w:rsidR="00027A83" w:rsidRPr="00027A83" w14:paraId="7919663F" w14:textId="77777777" w:rsidTr="00027A83">
        <w:trPr>
          <w:trHeight w:val="3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A2425" w14:textId="05251430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Knowledge of: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Relevant federal,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state,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local laws, regulations,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rules,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ordinances pertaining to welding operations</w:t>
            </w:r>
            <w:proofErr w:type="gramStart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proofErr w:type="gramEnd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County and departmental policies and procedures related to area of operation and safety including occupational hazards and safety precautions.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The use of proper tools, equipment utilized, safety requirements, techniques, practices and principles of welding principles and practices of all types of welding and fabrication.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Types and blends of ferrous and non-ferrous metals and their compatibility to various welding rods and </w:t>
            </w:r>
            <w:proofErr w:type="spellStart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mig</w:t>
            </w:r>
            <w:proofErr w:type="spellEnd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wires; raw materials, production processes, quality control, costs, and other techniques for maximizing the effective manufacture of goods.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Design techniques, tools, and </w:t>
            </w:r>
            <w:proofErr w:type="spellStart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principles</w:t>
            </w:r>
            <w:proofErr w:type="spellEnd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involved in the production or repair of materials; safety procedures.</w:t>
            </w:r>
          </w:p>
        </w:tc>
      </w:tr>
      <w:tr w:rsidR="00027A83" w:rsidRPr="00027A83" w14:paraId="0F9A2BD3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7471AD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9DE2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0D468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69AC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7BBA6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ABB90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6C5D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0CA35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3367A494" w14:textId="77777777" w:rsidTr="00027A83">
        <w:trPr>
          <w:trHeight w:val="21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8FE597" w14:textId="1FBD28D6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Skill in: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Using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oxyfuel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, shielding metal arc welding (SMAW) (aka stick), metal inset gas (MIG) and tungsten insert gas (TIG) types of welding.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Proficient with the use of plasma cutters.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Proficient in flat, horizontal,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vertical,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overhead welding positions.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Applying proper and applicable safety practices,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procedures,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regulations.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>* Working with others, including working as a team member.</w:t>
            </w:r>
          </w:p>
        </w:tc>
      </w:tr>
      <w:tr w:rsidR="00027A83" w:rsidRPr="00027A83" w14:paraId="4F43F96D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189A0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97A0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AE2D0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9C2CF6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75CCAF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A1DF4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9C055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4A89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7C07ACCE" w14:textId="77777777" w:rsidTr="00027A83">
        <w:trPr>
          <w:trHeight w:val="39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4A555" w14:textId="39DA99EE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lastRenderedPageBreak/>
              <w:t>Ability to: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Design and draft plans from blueprints.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>* Develop cost estimates for various projects.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>* Work within internal and external environments with exposure to extreme weather and temperature conditions.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Maintain a balanced position while moving hands and arms.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Read,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understand,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follow complex instructions.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Reason and make sound judgements.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>* Work independently and efficiently.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Manage time well, perform multiple tasks, and organize diverse activities.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>* Establish and maintain effective working relationships with County employees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and officials, representatives of outside agencies, and the </w:t>
            </w:r>
            <w:proofErr w:type="gramStart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general public</w:t>
            </w:r>
            <w:proofErr w:type="gramEnd"/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.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Demonstrate regular and reliable attendance. </w:t>
            </w:r>
          </w:p>
        </w:tc>
      </w:tr>
      <w:tr w:rsidR="00027A83" w:rsidRPr="00027A83" w14:paraId="5B657409" w14:textId="77777777" w:rsidTr="00027A83">
        <w:trPr>
          <w:trHeight w:val="16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7D4FA6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027A83" w:rsidRPr="00027A83" w14:paraId="42F49DDE" w14:textId="77777777" w:rsidTr="00027A83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16A37" w14:textId="77777777" w:rsidR="00027A83" w:rsidRPr="00027A83" w:rsidRDefault="00027A83" w:rsidP="00027A83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</w:rPr>
              <w:t>Physical/Environmental Requirements and Other Information</w:t>
            </w:r>
            <w:r w:rsidRPr="00027A83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: </w:t>
            </w:r>
          </w:p>
        </w:tc>
      </w:tr>
      <w:tr w:rsidR="00027A83" w:rsidRPr="00027A83" w14:paraId="1DF9B2DB" w14:textId="77777777" w:rsidTr="00027A83">
        <w:trPr>
          <w:trHeight w:val="18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917FA" w14:textId="7C73513A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Physical requirements include the ability to lift/carry up to 50 pounds, visual acuity, speech and hearing, hand and eye coordination and manual dexterity.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Subject to standing, sitting, walking, climbing stairs, bending, stooping, crouching, kneeling, pushing, pulling, reaching, twisting, balancing, repetitive motion, driving, client/customer contact, and squatting to perform the essential functions.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Subject to extreme temperatures, outside elements, noise, vibration, contact with dust, </w:t>
            </w:r>
            <w:r w:rsidR="000F0228" w:rsidRPr="00027A83">
              <w:rPr>
                <w:rFonts w:ascii="Calibri" w:eastAsia="Times New Roman" w:hAnsi="Calibri" w:cs="Calibri"/>
                <w:color w:val="000000"/>
                <w:sz w:val="22"/>
              </w:rPr>
              <w:t>fumes,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and hazardous chemicals. 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>Requires the use of Personal Protective Equipment as required by job circumstances.</w:t>
            </w:r>
            <w:r w:rsidR="000F0228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027A83" w:rsidRPr="00027A83" w14:paraId="41632BD6" w14:textId="77777777" w:rsidTr="00027A83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F37A8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6CF11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2B15E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B3618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137B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32A9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C541E3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7D7E4D" w14:textId="77777777" w:rsidR="00027A83" w:rsidRPr="00027A83" w:rsidRDefault="00027A83" w:rsidP="00027A8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7A83" w:rsidRPr="00027A83" w14:paraId="462C1C3C" w14:textId="77777777" w:rsidTr="00027A83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57EBF" w14:textId="77777777" w:rsidR="00027A83" w:rsidRPr="00027A83" w:rsidRDefault="00027A83" w:rsidP="00027A83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027A83">
              <w:rPr>
                <w:rFonts w:ascii="Calibri" w:eastAsia="Times New Roman" w:hAnsi="Calibri" w:cs="Calibri"/>
                <w:color w:val="000000"/>
                <w:sz w:val="22"/>
              </w:rPr>
              <w:t xml:space="preserve">(YOUR COUNTY NAME) employees play an important role in business continuity.  As such, employees may be assigned to business continuity efforts outside of normal job functions.  </w:t>
            </w:r>
          </w:p>
        </w:tc>
      </w:tr>
    </w:tbl>
    <w:p w14:paraId="65A62E49" w14:textId="43CD232C" w:rsidR="00061017" w:rsidRDefault="00061017"/>
    <w:p w14:paraId="2FCB20CF" w14:textId="086B1A38" w:rsidR="00505096" w:rsidRDefault="00505096">
      <w:r>
        <w:t xml:space="preserve">Ed. V1.2 December 2020 </w:t>
      </w:r>
    </w:p>
    <w:sectPr w:rsidR="00505096" w:rsidSect="00027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0B64EE" w14:textId="77777777" w:rsidR="006F642A" w:rsidRDefault="006F642A" w:rsidP="00E526DF">
      <w:r>
        <w:separator/>
      </w:r>
    </w:p>
  </w:endnote>
  <w:endnote w:type="continuationSeparator" w:id="0">
    <w:p w14:paraId="4721D5A8" w14:textId="77777777" w:rsidR="006F642A" w:rsidRDefault="006F642A" w:rsidP="00E5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AF115" w14:textId="77777777" w:rsidR="00E526DF" w:rsidRDefault="00E526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63C956" w14:textId="77777777" w:rsidR="00E526DF" w:rsidRDefault="00E526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19911" w14:textId="77777777" w:rsidR="00E526DF" w:rsidRDefault="00E526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9890D" w14:textId="77777777" w:rsidR="006F642A" w:rsidRDefault="006F642A" w:rsidP="00E526DF">
      <w:r>
        <w:separator/>
      </w:r>
    </w:p>
  </w:footnote>
  <w:footnote w:type="continuationSeparator" w:id="0">
    <w:p w14:paraId="098558BD" w14:textId="77777777" w:rsidR="006F642A" w:rsidRDefault="006F642A" w:rsidP="00E5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D8BB9" w14:textId="77777777" w:rsidR="00E526DF" w:rsidRDefault="00E526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056B3" w14:textId="485D7137" w:rsidR="00E526DF" w:rsidRDefault="00E526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307BB" w14:textId="77777777" w:rsidR="00E526DF" w:rsidRDefault="00E526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A83"/>
    <w:rsid w:val="00027A83"/>
    <w:rsid w:val="00061017"/>
    <w:rsid w:val="000C1B99"/>
    <w:rsid w:val="000F0228"/>
    <w:rsid w:val="00505096"/>
    <w:rsid w:val="00672377"/>
    <w:rsid w:val="006F642A"/>
    <w:rsid w:val="0079156B"/>
    <w:rsid w:val="00AC73E3"/>
    <w:rsid w:val="00E5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481CD"/>
  <w15:chartTrackingRefBased/>
  <w15:docId w15:val="{FA3B3C1C-5324-4748-97ED-E3597275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26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6DF"/>
  </w:style>
  <w:style w:type="paragraph" w:styleId="Footer">
    <w:name w:val="footer"/>
    <w:basedOn w:val="Normal"/>
    <w:link w:val="FooterChar"/>
    <w:uiPriority w:val="99"/>
    <w:unhideWhenUsed/>
    <w:rsid w:val="00E526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55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4626</Characters>
  <Application>Microsoft Office Word</Application>
  <DocSecurity>0</DocSecurity>
  <Lines>38</Lines>
  <Paragraphs>10</Paragraphs>
  <ScaleCrop>false</ScaleCrop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Tammy Belk</cp:lastModifiedBy>
  <cp:revision>3</cp:revision>
  <dcterms:created xsi:type="dcterms:W3CDTF">2020-12-16T19:09:00Z</dcterms:created>
  <dcterms:modified xsi:type="dcterms:W3CDTF">2020-12-16T19:09:00Z</dcterms:modified>
</cp:coreProperties>
</file>